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Century Gothic" w:cs="Century Gothic" w:eastAsia="Century Gothic" w:hAnsi="Century Gothic"/>
          <w:b/>
          <w:bCs/>
          <w:color w:val="0C6B78"/>
          <w:sz w:val="40"/>
          <w:szCs w:val="40"/>
        </w:rPr>
        <w:t xml:space="preserve">Λ</w:t>
      </w:r>
      <w:r>
        <w:rPr>
          <w:rFonts w:ascii="Century Gothic" w:cs="Century Gothic" w:eastAsia="Century Gothic" w:hAnsi="Century Gothic"/>
          <w:b/>
          <w:bCs/>
          <w:color w:val="16191F"/>
          <w:spacing w:val="70"/>
          <w:sz w:val="34"/>
          <w:szCs w:val="34"/>
        </w:rPr>
        <w:t xml:space="preserve">  ARTHUR ROMANOV</w:t>
      </w:r>
      <w:ptab w:alignment="right" w:relativeTo="margin" w:leader="none"/>
      <w:r>
        <w:rPr>
          <w:rFonts w:ascii="Century Gothic" w:cs="Century Gothic" w:eastAsia="Century Gothic" w:hAnsi="Century Gothic"/>
          <w:color w:val="0C6B78"/>
          <w:spacing w:val="40"/>
          <w:sz w:val="18"/>
          <w:szCs w:val="18"/>
        </w:rPr>
        <w:t xml:space="preserve">LIQ.studio</w:t>
      </w:r>
    </w:p>
    <w:p>
      <w:pPr>
        <w:spacing w:after="60"/>
      </w:pPr>
      <w:r>
        <w:rPr>
          <w:rFonts w:ascii="Century Gothic" w:cs="Century Gothic" w:eastAsia="Century Gothic" w:hAnsi="Century Gothic"/>
          <w:color w:val="0C6B78"/>
          <w:sz w:val="18"/>
          <w:szCs w:val="18"/>
        </w:rPr>
        <w:t xml:space="preserve">Solution Architect  ·  Senior Business Analyst  ·  AI-Native Software Builder</w:t>
      </w:r>
    </w:p>
    <w:p>
      <w:pPr>
        <w:pBdr>
          <w:bottom w:val="single" w:color="CFDBDF" w:sz="6" w:space="6"/>
        </w:pBdr>
        <w:spacing w:after="90"/>
      </w:pPr>
      <w:r>
        <w:rPr>
          <w:rFonts w:ascii="Calibri" w:cs="Calibri" w:eastAsia="Calibri" w:hAnsi="Calibri"/>
          <w:color w:val="5C6673"/>
          <w:sz w:val="17"/>
          <w:szCs w:val="17"/>
        </w:rPr>
        <w:t xml:space="preserve">Miami, FL</w:t>
      </w:r>
      <w:r>
        <w:rPr>
          <w:rFonts w:ascii="Calibri" w:cs="Calibri" w:eastAsia="Calibri" w:hAnsi="Calibri"/>
          <w:color w:val="CFDBDF"/>
          <w:sz w:val="17"/>
          <w:szCs w:val="17"/>
        </w:rPr>
        <w:t xml:space="preserve">   ·   </w:t>
      </w:r>
      <w:r>
        <w:rPr>
          <w:rFonts w:ascii="Calibri" w:cs="Calibri" w:eastAsia="Calibri" w:hAnsi="Calibri"/>
          <w:color w:val="5C6673"/>
          <w:sz w:val="17"/>
          <w:szCs w:val="17"/>
        </w:rPr>
        <w:t xml:space="preserve">954.951.5911</w:t>
      </w:r>
      <w:r>
        <w:rPr>
          <w:rFonts w:ascii="Calibri" w:cs="Calibri" w:eastAsia="Calibri" w:hAnsi="Calibri"/>
          <w:color w:val="CFDBDF"/>
          <w:sz w:val="17"/>
          <w:szCs w:val="17"/>
        </w:rPr>
        <w:t xml:space="preserve">   ·   </w:t>
      </w:r>
      <w:hyperlink w:history="1" r:id="rIdrgrrzvq01lv1t1-o_jfao">
        <w:r>
          <w:rPr>
            <w:rFonts w:ascii="Calibri" w:cs="Calibri" w:eastAsia="Calibri" w:hAnsi="Calibri"/>
            <w:color w:val="0C6B78"/>
            <w:sz w:val="17"/>
            <w:szCs w:val="17"/>
            <w:u w:val="single" w:color="0C6B78"/>
          </w:rPr>
          <w:t xml:space="preserve">arthur@liqlab.ai</w:t>
        </w:r>
      </w:hyperlink>
      <w:r>
        <w:rPr>
          <w:rFonts w:ascii="Calibri" w:cs="Calibri" w:eastAsia="Calibri" w:hAnsi="Calibri"/>
          <w:color w:val="CFDBDF"/>
          <w:sz w:val="17"/>
          <w:szCs w:val="17"/>
        </w:rPr>
        <w:t xml:space="preserve">   ·   </w:t>
      </w:r>
      <w:hyperlink w:history="1" r:id="rId0nzty-m5wwpw4crrdkjrv">
        <w:r>
          <w:rPr>
            <w:rFonts w:ascii="Calibri" w:cs="Calibri" w:eastAsia="Calibri" w:hAnsi="Calibri"/>
            <w:color w:val="0C6B78"/>
            <w:sz w:val="17"/>
            <w:szCs w:val="17"/>
            <w:u w:val="single" w:color="0C6B78"/>
          </w:rPr>
          <w:t xml:space="preserve">linkedin.com/in/arthurromanov</w:t>
        </w:r>
      </w:hyperlink>
      <w:r>
        <w:rPr>
          <w:rFonts w:ascii="Calibri" w:cs="Calibri" w:eastAsia="Calibri" w:hAnsi="Calibri"/>
          <w:color w:val="CFDBDF"/>
          <w:sz w:val="17"/>
          <w:szCs w:val="17"/>
        </w:rPr>
        <w:t xml:space="preserve">   ·   </w:t>
      </w:r>
      <w:hyperlink w:history="1" r:id="rIdco-5u9f7vltxonlnqcjtw">
        <w:r>
          <w:rPr>
            <w:rFonts w:ascii="Calibri" w:cs="Calibri" w:eastAsia="Calibri" w:hAnsi="Calibri"/>
            <w:color w:val="0C6B78"/>
            <w:sz w:val="17"/>
            <w:szCs w:val="17"/>
            <w:u w:val="single" w:color="0C6B78"/>
          </w:rPr>
          <w:t xml:space="preserve">liq.studio</w:t>
        </w:r>
      </w:hyperlink>
    </w:p>
    <w:p>
      <w:pPr>
        <w:pBdr>
          <w:left w:val="single" w:color="0C6B78" w:sz="18" w:space="10"/>
        </w:pBdr>
        <w:shd w:fill="F2F7F8" w:color="auto" w:val="clear"/>
        <w:spacing w:after="40" w:before="40" w:line="264"/>
        <w:ind w:left="200" w:right="120"/>
      </w:pPr>
      <w:r>
        <w:rPr>
          <w:rFonts w:ascii="Calibri" w:cs="Calibri" w:eastAsia="Calibri" w:hAnsi="Calibri"/>
          <w:color w:val="16191F"/>
          <w:sz w:val="20"/>
          <w:szCs w:val="20"/>
        </w:rPr>
        <w:t xml:space="preserve">Founder and solution architect with 20+ years turning complex requirements into shipped software — for the City of New York, Fortune 500 enterprises, global law firms, and my own products. Deep across the full SDLC — business analysis, project management, architecture and enterprise integration — now building AI-native, design-led software at LIQ.studio and LiqLab.ai. I bring the rigor of a senior BA/PM/architect and the hands-on craft of a designer-engineer who ships.</w:t>
      </w:r>
    </w:p>
    <w:p>
      <w:pPr>
        <w:spacing w:before="120"/>
      </w:pPr>
      <w:r>
        <w:rPr>
          <w:rFonts w:ascii="Century Gothic" w:cs="Century Gothic" w:eastAsia="Century Gothic" w:hAnsi="Century Gothic"/>
          <w:color w:val="0C6B78"/>
          <w:sz w:val="18"/>
          <w:szCs w:val="18"/>
        </w:rPr>
        <w:t xml:space="preserve">▸  Interactive résumé &amp; live portfolio:  </w:t>
      </w:r>
      <w:hyperlink w:history="1" r:id="rIdhx4z0vsq0o6umopvpw6vt">
        <w:r>
          <w:rPr>
            <w:rFonts w:ascii="Calibri" w:cs="Calibri" w:eastAsia="Calibri" w:hAnsi="Calibri"/>
            <w:color w:val="0C6B78"/>
            <w:sz w:val="18"/>
            <w:szCs w:val="18"/>
            <w:u w:val="single" w:color="0C6B78"/>
          </w:rPr>
          <w:t xml:space="preserve">romanov.solutions/liq</w:t>
        </w:r>
      </w:hyperlink>
    </w:p>
    <w:p>
      <w:pPr>
        <w:pBdr>
          <w:bottom w:val="single" w:color="CFDBDF" w:sz="6" w:space="4"/>
        </w:pBdr>
        <w:spacing w:after="90" w:before="220"/>
      </w:pPr>
      <w:r>
        <w:rPr>
          <w:rFonts w:ascii="Century Gothic" w:cs="Century Gothic" w:eastAsia="Century Gothic" w:hAnsi="Century Gothic"/>
          <w:b/>
          <w:bCs/>
          <w:color w:val="0C6B78"/>
          <w:spacing w:val="50"/>
          <w:sz w:val="19"/>
          <w:szCs w:val="19"/>
        </w:rPr>
        <w:t xml:space="preserve">CORE COMPETENCIES</w:t>
      </w:r>
    </w:p>
    <w:p>
      <w:pPr>
        <w:spacing w:after="60" w:line="250"/>
        <w:ind w:left="200" w:hanging="200"/>
      </w:pPr>
      <w:r>
        <w:rPr>
          <w:rFonts w:ascii="Century Gothic" w:cs="Century Gothic" w:eastAsia="Century Gothic" w:hAnsi="Century Gothic"/>
          <w:b/>
          <w:bCs/>
          <w:color w:val="0C6B78"/>
          <w:sz w:val="18"/>
          <w:szCs w:val="18"/>
        </w:rPr>
        <w:t xml:space="preserve">Delivery &amp; Analysis   </w:t>
      </w:r>
      <w:r>
        <w:rPr>
          <w:rFonts w:ascii="Calibri" w:cs="Calibri" w:eastAsia="Calibri" w:hAnsi="Calibri"/>
          <w:color w:val="16191F"/>
          <w:sz w:val="18"/>
          <w:szCs w:val="18"/>
        </w:rPr>
        <w:t xml:space="preserve">Full SDLC · Agile/Scrum · PMI · requirements engineering (BRD/FRD/FSD) · JAD/JRP facilitation · UAT · change &amp; traceability management · GAP, SWOT, cost-benefit, root-cause &amp; risk analysis</w:t>
      </w:r>
    </w:p>
    <w:p>
      <w:pPr>
        <w:spacing w:after="60" w:line="250"/>
        <w:ind w:left="200" w:hanging="200"/>
      </w:pPr>
      <w:r>
        <w:rPr>
          <w:rFonts w:ascii="Century Gothic" w:cs="Century Gothic" w:eastAsia="Century Gothic" w:hAnsi="Century Gothic"/>
          <w:b/>
          <w:bCs/>
          <w:color w:val="0C6B78"/>
          <w:sz w:val="18"/>
          <w:szCs w:val="18"/>
        </w:rPr>
        <w:t xml:space="preserve">Engineering &amp; AI   </w:t>
      </w:r>
      <w:r>
        <w:rPr>
          <w:rFonts w:ascii="Calibri" w:cs="Calibri" w:eastAsia="Calibri" w:hAnsi="Calibri"/>
          <w:color w:val="16191F"/>
          <w:sz w:val="18"/>
          <w:szCs w:val="18"/>
        </w:rPr>
        <w:t xml:space="preserve">Full-stack (PHP, JavaScript, HTML/CSS) · MySQL / MS SQL · REST APIs &amp; system integration · WebGL/GLSL · AI &amp; LLM workflows (OpenAI, Anthropic) · automation</w:t>
      </w:r>
    </w:p>
    <w:p>
      <w:pPr>
        <w:spacing w:after="60" w:line="250"/>
        <w:ind w:left="200" w:hanging="200"/>
      </w:pPr>
      <w:r>
        <w:rPr>
          <w:rFonts w:ascii="Century Gothic" w:cs="Century Gothic" w:eastAsia="Century Gothic" w:hAnsi="Century Gothic"/>
          <w:b/>
          <w:bCs/>
          <w:color w:val="0C6B78"/>
          <w:sz w:val="18"/>
          <w:szCs w:val="18"/>
        </w:rPr>
        <w:t xml:space="preserve">Enterprise Systems   </w:t>
      </w:r>
      <w:r>
        <w:rPr>
          <w:rFonts w:ascii="Calibri" w:cs="Calibri" w:eastAsia="Calibri" w:hAnsi="Calibri"/>
          <w:color w:val="16191F"/>
          <w:sz w:val="18"/>
          <w:szCs w:val="18"/>
        </w:rPr>
        <w:t xml:space="preserve">ERP / HRMS / payroll / financials · PeopleSoft, ADP, Workday, TriNet · immigration case management · Integrated Property Tax (IPTS)</w:t>
      </w:r>
    </w:p>
    <w:p>
      <w:pPr>
        <w:spacing w:after="60" w:line="250"/>
        <w:ind w:left="200" w:hanging="200"/>
      </w:pPr>
      <w:r>
        <w:rPr>
          <w:rFonts w:ascii="Century Gothic" w:cs="Century Gothic" w:eastAsia="Century Gothic" w:hAnsi="Century Gothic"/>
          <w:b/>
          <w:bCs/>
          <w:color w:val="0C6B78"/>
          <w:sz w:val="18"/>
          <w:szCs w:val="18"/>
        </w:rPr>
        <w:t xml:space="preserve">Data &amp; BI   </w:t>
      </w:r>
      <w:r>
        <w:rPr>
          <w:rFonts w:ascii="Calibri" w:cs="Calibri" w:eastAsia="Calibri" w:hAnsi="Calibri"/>
          <w:color w:val="16191F"/>
          <w:sz w:val="18"/>
          <w:szCs w:val="18"/>
        </w:rPr>
        <w:t xml:space="preserve">SQL · IBM Cognos 10/11 · SSRS · Crystal Reports · ETL &amp; data migration · dashboards &amp; KPIs</w:t>
      </w:r>
    </w:p>
    <w:p>
      <w:pPr>
        <w:spacing w:after="60" w:line="250"/>
        <w:ind w:left="200" w:hanging="200"/>
      </w:pPr>
      <w:r>
        <w:rPr>
          <w:rFonts w:ascii="Century Gothic" w:cs="Century Gothic" w:eastAsia="Century Gothic" w:hAnsi="Century Gothic"/>
          <w:b/>
          <w:bCs/>
          <w:color w:val="0C6B78"/>
          <w:sz w:val="18"/>
          <w:szCs w:val="18"/>
        </w:rPr>
        <w:t xml:space="preserve">Design &amp; Tools   </w:t>
      </w:r>
      <w:r>
        <w:rPr>
          <w:rFonts w:ascii="Calibri" w:cs="Calibri" w:eastAsia="Calibri" w:hAnsi="Calibri"/>
          <w:color w:val="16191F"/>
          <w:sz w:val="18"/>
          <w:szCs w:val="18"/>
        </w:rPr>
        <w:t xml:space="preserve">Adobe Photoshop &amp; Illustrator · UX/UI, wireframing, prototyping, design systems · Jira, Asana, ClickUp, MS Project, SharePoint · HPE ALM/AGM · Office 365</w:t>
      </w:r>
    </w:p>
    <w:p>
      <w:pPr>
        <w:pBdr>
          <w:bottom w:val="single" w:color="CFDBDF" w:sz="6" w:space="4"/>
        </w:pBdr>
        <w:spacing w:after="90" w:before="220"/>
      </w:pPr>
      <w:r>
        <w:rPr>
          <w:rFonts w:ascii="Century Gothic" w:cs="Century Gothic" w:eastAsia="Century Gothic" w:hAnsi="Century Gothic"/>
          <w:b/>
          <w:bCs/>
          <w:color w:val="0C6B78"/>
          <w:spacing w:val="50"/>
          <w:sz w:val="19"/>
          <w:szCs w:val="19"/>
        </w:rPr>
        <w:t xml:space="preserve">EXPERIENCE</w:t>
      </w:r>
    </w:p>
    <w:p>
      <w:pPr>
        <w:spacing w:after="12" w:before="150"/>
      </w:pPr>
      <w:r>
        <w:rPr>
          <w:rFonts w:ascii="Calibri" w:cs="Calibri" w:eastAsia="Calibri" w:hAnsi="Calibri"/>
          <w:b/>
          <w:bCs/>
          <w:color w:val="16191F"/>
          <w:sz w:val="20"/>
          <w:szCs w:val="20"/>
        </w:rPr>
        <w:t xml:space="preserve">LIQ.studio · Romanov Solutions · LiqLab.ai</w:t>
      </w:r>
      <w:r>
        <w:rPr>
          <w:rFonts w:ascii="Calibri" w:cs="Calibri" w:eastAsia="Calibri" w:hAnsi="Calibri"/>
          <w:color w:val="16191F"/>
          <w:sz w:val="20"/>
          <w:szCs w:val="20"/>
        </w:rPr>
        <w:t xml:space="preserve"> — Founder &amp; Solution Architect</w:t>
      </w:r>
      <w:ptab w:alignment="right" w:relativeTo="margin" w:leader="none"/>
      <w:r>
        <w:rPr>
          <w:rFonts w:ascii="Calibri" w:cs="Calibri" w:eastAsia="Calibri" w:hAnsi="Calibri"/>
          <w:color w:val="5C6673"/>
          <w:sz w:val="16"/>
          <w:szCs w:val="16"/>
        </w:rPr>
        <w:t xml:space="preserve">2018 – Present  ·  Remote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b/>
          <w:bCs/>
          <w:color w:val="16191F"/>
          <w:sz w:val="19"/>
          <w:szCs w:val="19"/>
        </w:rPr>
        <w:t xml:space="preserve">Founded a design-led software studio</w:t>
      </w:r>
      <w:r>
        <w:rPr>
          <w:rFonts w:ascii="Calibri" w:cs="Calibri" w:eastAsia="Calibri" w:hAnsi="Calibri"/>
          <w:color w:val="16191F"/>
          <w:sz w:val="19"/>
          <w:szCs w:val="19"/>
        </w:rPr>
        <w:t xml:space="preserve"> — architect and build production platforms end to end: solution design, full-stack development, AI pipelines and design systems.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b/>
          <w:bCs/>
          <w:color w:val="16191F"/>
          <w:sz w:val="19"/>
          <w:szCs w:val="19"/>
        </w:rPr>
        <w:t xml:space="preserve">Built LiqLab.ai</w:t>
      </w:r>
      <w:r>
        <w:rPr>
          <w:rFonts w:ascii="Calibri" w:cs="Calibri" w:eastAsia="Calibri" w:hAnsi="Calibri"/>
          <w:color w:val="16191F"/>
          <w:sz w:val="19"/>
          <w:szCs w:val="19"/>
        </w:rPr>
        <w:t xml:space="preserve"> — a free AI design lab and pro builder with a 225+ WebGL effect and building-block library and a one-click AI build pipeline.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color w:val="16191F"/>
          <w:sz w:val="19"/>
          <w:szCs w:val="19"/>
        </w:rPr>
        <w:t xml:space="preserve">Engineered the FABLE 5 real-time WebGL theme engine and a 2,000-category catalog platform (romanov.solutions); created virtual.limited, a walkable 3D agentic city.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color w:val="16191F"/>
          <w:sz w:val="19"/>
          <w:szCs w:val="19"/>
        </w:rPr>
        <w:t xml:space="preserve">Delivered vertical products across dental, marine, media and market intelligence. </w:t>
      </w:r>
      <w:r>
        <w:rPr>
          <w:rFonts w:ascii="Calibri" w:cs="Calibri" w:eastAsia="Calibri" w:hAnsi="Calibri"/>
          <w:b/>
          <w:bCs/>
          <w:color w:val="16191F"/>
          <w:sz w:val="19"/>
          <w:szCs w:val="19"/>
        </w:rPr>
        <w:t xml:space="preserve">Upwork Expert-Vetted (top 1%)</w:t>
      </w:r>
      <w:r>
        <w:rPr>
          <w:rFonts w:ascii="Calibri" w:cs="Calibri" w:eastAsia="Calibri" w:hAnsi="Calibri"/>
          <w:color w:val="16191F"/>
          <w:sz w:val="19"/>
          <w:szCs w:val="19"/>
        </w:rPr>
        <w:t xml:space="preserve">, 5.0★ across 24 engagements.</w:t>
      </w:r>
    </w:p>
    <w:p>
      <w:pPr>
        <w:spacing w:after="12" w:before="150"/>
      </w:pPr>
      <w:r>
        <w:rPr>
          <w:rFonts w:ascii="Calibri" w:cs="Calibri" w:eastAsia="Calibri" w:hAnsi="Calibri"/>
          <w:b/>
          <w:bCs/>
          <w:color w:val="16191F"/>
          <w:sz w:val="20"/>
          <w:szCs w:val="20"/>
        </w:rPr>
        <w:t xml:space="preserve">INSZoom, a Mitratech company</w:t>
      </w:r>
      <w:r>
        <w:rPr>
          <w:rFonts w:ascii="Calibri" w:cs="Calibri" w:eastAsia="Calibri" w:hAnsi="Calibri"/>
          <w:color w:val="16191F"/>
          <w:sz w:val="20"/>
          <w:szCs w:val="20"/>
        </w:rPr>
        <w:t xml:space="preserve"> — Business Analyst / Project Manager</w:t>
      </w:r>
      <w:ptab w:alignment="right" w:relativeTo="margin" w:leader="none"/>
      <w:r>
        <w:rPr>
          <w:rFonts w:ascii="Calibri" w:cs="Calibri" w:eastAsia="Calibri" w:hAnsi="Calibri"/>
          <w:color w:val="5C6673"/>
          <w:sz w:val="16"/>
          <w:szCs w:val="16"/>
        </w:rPr>
        <w:t xml:space="preserve">2017  ·  Remote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color w:val="16191F"/>
          <w:sz w:val="19"/>
          <w:szCs w:val="19"/>
        </w:rPr>
        <w:t xml:space="preserve">Client-facing BA/PM lead for enterprise immigration case-management deployments — liaison across clients, engineering, support and management through the full SDLC.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b/>
          <w:bCs/>
          <w:color w:val="16191F"/>
          <w:sz w:val="19"/>
          <w:szCs w:val="19"/>
        </w:rPr>
        <w:t xml:space="preserve">Led the General Electric / Granite / FieldCore platform</w:t>
      </w:r>
      <w:r>
        <w:rPr>
          <w:rFonts w:ascii="Calibri" w:cs="Calibri" w:eastAsia="Calibri" w:hAnsi="Calibri"/>
          <w:color w:val="16191F"/>
          <w:sz w:val="19"/>
          <w:szCs w:val="19"/>
        </w:rPr>
        <w:t xml:space="preserve"> — a large-scale immigration &amp; international work-order assignment system integrated via custom API across 9 systems, and brought it to market.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color w:val="16191F"/>
          <w:sz w:val="19"/>
          <w:szCs w:val="19"/>
        </w:rPr>
        <w:t xml:space="preserve">Owned enterprise accounts and delivery for </w:t>
      </w:r>
      <w:r>
        <w:rPr>
          <w:rFonts w:ascii="Calibri" w:cs="Calibri" w:eastAsia="Calibri" w:hAnsi="Calibri"/>
          <w:b/>
          <w:bCs/>
          <w:color w:val="16191F"/>
          <w:sz w:val="19"/>
          <w:szCs w:val="19"/>
        </w:rPr>
        <w:t xml:space="preserve">IBM, Ernst &amp; Young, TriNet, Cerner, Honigman, Fragomen, AgreeYa, Davis Wright Tremaine and EBG/Amazon</w:t>
      </w:r>
      <w:r>
        <w:rPr>
          <w:rFonts w:ascii="Calibri" w:cs="Calibri" w:eastAsia="Calibri" w:hAnsi="Calibri"/>
          <w:color w:val="16191F"/>
          <w:sz w:val="19"/>
          <w:szCs w:val="19"/>
        </w:rPr>
        <w:t xml:space="preserve"> — BI/reporting, HRMS integration, data migration, onboarding and UAT.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color w:val="16191F"/>
          <w:sz w:val="19"/>
          <w:szCs w:val="19"/>
        </w:rPr>
        <w:t xml:space="preserve">Documented AS-IS / TO-BE processes, epics, user stories and use/test cases; built advanced Excel/VBA dashboards; pulled back-end data via SQL and formulated KPIs to support executive decisions.</w:t>
      </w:r>
    </w:p>
    <w:p>
      <w:pPr>
        <w:spacing w:after="12" w:before="150"/>
      </w:pPr>
      <w:r>
        <w:rPr>
          <w:rFonts w:ascii="Calibri" w:cs="Calibri" w:eastAsia="Calibri" w:hAnsi="Calibri"/>
          <w:b/>
          <w:bCs/>
          <w:color w:val="16191F"/>
          <w:sz w:val="20"/>
          <w:szCs w:val="20"/>
        </w:rPr>
        <w:t xml:space="preserve">Interbel Service Corp</w:t>
      </w:r>
      <w:r>
        <w:rPr>
          <w:rFonts w:ascii="Calibri" w:cs="Calibri" w:eastAsia="Calibri" w:hAnsi="Calibri"/>
          <w:color w:val="16191F"/>
          <w:sz w:val="20"/>
          <w:szCs w:val="20"/>
        </w:rPr>
        <w:t xml:space="preserve"> — Solution Consultant (BA / PM)</w:t>
      </w:r>
      <w:ptab w:alignment="right" w:relativeTo="margin" w:leader="none"/>
      <w:r>
        <w:rPr>
          <w:rFonts w:ascii="Calibri" w:cs="Calibri" w:eastAsia="Calibri" w:hAnsi="Calibri"/>
          <w:color w:val="5C6673"/>
          <w:sz w:val="16"/>
          <w:szCs w:val="16"/>
        </w:rPr>
        <w:t xml:space="preserve">2017 – 2018  ·  Remote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color w:val="16191F"/>
          <w:sz w:val="19"/>
          <w:szCs w:val="19"/>
        </w:rPr>
        <w:t xml:space="preserve">Designed and led a custom platform tracking disassembly and multi-modal export of automotive, vessel and heavy-machinery parts across countries — core workflows plus container-loading, client/admin portals, inventory and payment modules.</w:t>
      </w:r>
    </w:p>
    <w:p>
      <w:pPr>
        <w:spacing w:after="12" w:before="150"/>
      </w:pPr>
      <w:r>
        <w:rPr>
          <w:rFonts w:ascii="Calibri" w:cs="Calibri" w:eastAsia="Calibri" w:hAnsi="Calibri"/>
          <w:b/>
          <w:bCs/>
          <w:color w:val="16191F"/>
          <w:sz w:val="20"/>
          <w:szCs w:val="20"/>
        </w:rPr>
        <w:t xml:space="preserve">Hewlett-Packard Enterprise</w:t>
      </w:r>
      <w:r>
        <w:rPr>
          <w:rFonts w:ascii="Calibri" w:cs="Calibri" w:eastAsia="Calibri" w:hAnsi="Calibri"/>
          <w:color w:val="16191F"/>
          <w:sz w:val="20"/>
          <w:szCs w:val="20"/>
        </w:rPr>
        <w:t xml:space="preserve"> (County of San Diego) — Business Analyst</w:t>
      </w:r>
      <w:ptab w:alignment="right" w:relativeTo="margin" w:leader="none"/>
      <w:r>
        <w:rPr>
          <w:rFonts w:ascii="Calibri" w:cs="Calibri" w:eastAsia="Calibri" w:hAnsi="Calibri"/>
          <w:color w:val="5C6673"/>
          <w:sz w:val="16"/>
          <w:szCs w:val="16"/>
        </w:rPr>
        <w:t xml:space="preserve">2016  ·  Contract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color w:val="16191F"/>
          <w:sz w:val="19"/>
          <w:szCs w:val="19"/>
        </w:rPr>
        <w:t xml:space="preserve">Authored requirements, user stories and use/test cases for the Integrated Property Tax System (IPTS); validated defects in HPE ALM and aligned teams through sprint ceremonies.</w:t>
      </w:r>
    </w:p>
    <w:p>
      <w:pPr>
        <w:spacing w:after="12" w:before="150"/>
      </w:pPr>
      <w:r>
        <w:rPr>
          <w:rFonts w:ascii="Calibri" w:cs="Calibri" w:eastAsia="Calibri" w:hAnsi="Calibri"/>
          <w:b/>
          <w:bCs/>
          <w:color w:val="16191F"/>
          <w:sz w:val="20"/>
          <w:szCs w:val="20"/>
        </w:rPr>
        <w:t xml:space="preserve">City of New York — Dept. of Parks &amp; Recreation</w:t>
      </w:r>
      <w:r>
        <w:rPr>
          <w:rFonts w:ascii="Calibri" w:cs="Calibri" w:eastAsia="Calibri" w:hAnsi="Calibri"/>
          <w:color w:val="16191F"/>
          <w:sz w:val="20"/>
          <w:szCs w:val="20"/>
        </w:rPr>
        <w:t xml:space="preserve"> — IT Project Manager / Business &amp; Fiscal Analyst</w:t>
      </w:r>
      <w:ptab w:alignment="right" w:relativeTo="margin" w:leader="none"/>
      <w:r>
        <w:rPr>
          <w:rFonts w:ascii="Calibri" w:cs="Calibri" w:eastAsia="Calibri" w:hAnsi="Calibri"/>
          <w:color w:val="5C6673"/>
          <w:sz w:val="16"/>
          <w:szCs w:val="16"/>
        </w:rPr>
        <w:t xml:space="preserve">2006 – 2016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b/>
          <w:bCs/>
          <w:color w:val="16191F"/>
          <w:sz w:val="19"/>
          <w:szCs w:val="19"/>
        </w:rPr>
        <w:t xml:space="preserve">Led design and delivery of in-house systems managing operational and capital budgets, payroll and contracts of $15M – $100M</w:t>
      </w:r>
      <w:r>
        <w:rPr>
          <w:rFonts w:ascii="Calibri" w:cs="Calibri" w:eastAsia="Calibri" w:hAnsi="Calibri"/>
          <w:color w:val="16191F"/>
          <w:sz w:val="19"/>
          <w:szCs w:val="19"/>
        </w:rPr>
        <w:t xml:space="preserve"> across the boroughs.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b/>
          <w:bCs/>
          <w:color w:val="16191F"/>
          <w:sz w:val="19"/>
          <w:szCs w:val="19"/>
        </w:rPr>
        <w:t xml:space="preserve">Built the Parks Financial Reporting &amp; Management System (PRMS)</w:t>
      </w:r>
      <w:r>
        <w:rPr>
          <w:rFonts w:ascii="Calibri" w:cs="Calibri" w:eastAsia="Calibri" w:hAnsi="Calibri"/>
          <w:color w:val="16191F"/>
          <w:sz w:val="19"/>
          <w:szCs w:val="19"/>
        </w:rPr>
        <w:t xml:space="preserve"> — centralizing disparate sources into an enterprise data warehouse and automating bi-weekly-to-annual reporting, forecasting and overspend-risk KPIs.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color w:val="16191F"/>
          <w:sz w:val="19"/>
          <w:szCs w:val="19"/>
        </w:rPr>
        <w:t xml:space="preserve">Redesigned the HR management module for 30,000+ employees; automated billing and task management and designed the reporting UX.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color w:val="16191F"/>
          <w:sz w:val="19"/>
          <w:szCs w:val="19"/>
        </w:rPr>
        <w:t xml:space="preserve">Co-designed a workforce projection model using 700+ researched inputs and custom algorithms to cost out human-capital needs ahead of capital projects; liaison to the Mayor’s Office of Management &amp; Budget and Human Resources Administration.</w:t>
      </w:r>
    </w:p>
    <w:p>
      <w:pPr>
        <w:pBdr>
          <w:bottom w:val="single" w:color="CFDBDF" w:sz="6" w:space="4"/>
        </w:pBdr>
        <w:spacing w:after="90" w:before="220"/>
      </w:pPr>
      <w:r>
        <w:rPr>
          <w:rFonts w:ascii="Century Gothic" w:cs="Century Gothic" w:eastAsia="Century Gothic" w:hAnsi="Century Gothic"/>
          <w:b/>
          <w:bCs/>
          <w:color w:val="0C6B78"/>
          <w:spacing w:val="50"/>
          <w:sz w:val="19"/>
          <w:szCs w:val="19"/>
        </w:rPr>
        <w:t xml:space="preserve">EDUCATION</w:t>
      </w:r>
    </w:p>
    <w:p>
      <w:pPr>
        <w:spacing w:after="40"/>
      </w:pPr>
      <w:r>
        <w:rPr>
          <w:rFonts w:ascii="Century Gothic" w:cs="Century Gothic" w:eastAsia="Century Gothic" w:hAnsi="Century Gothic"/>
          <w:b/>
          <w:bCs/>
          <w:color w:val="16191F"/>
          <w:sz w:val="20"/>
          <w:szCs w:val="20"/>
        </w:rPr>
        <w:t xml:space="preserve">B.B.A., Baruch College (CUNY) — Zicklin School of Business</w:t>
      </w:r>
      <w:ptab w:alignment="right" w:relativeTo="margin" w:leader="none"/>
      <w:r>
        <w:rPr>
          <w:rFonts w:ascii="Calibri" w:cs="Calibri" w:eastAsia="Calibri" w:hAnsi="Calibri"/>
          <w:color w:val="5C6673"/>
          <w:sz w:val="16"/>
          <w:szCs w:val="16"/>
        </w:rPr>
        <w:t xml:space="preserve">2010</w:t>
      </w:r>
    </w:p>
    <w:p>
      <w:r>
        <w:rPr>
          <w:rFonts w:ascii="Calibri" w:cs="Calibri" w:eastAsia="Calibri" w:hAnsi="Calibri"/>
          <w:color w:val="5C6673"/>
          <w:sz w:val="19"/>
          <w:szCs w:val="19"/>
        </w:rPr>
        <w:t xml:space="preserve">Finance &amp; Investments; Minor, Industrial/Organizational Psychology</w:t>
      </w:r>
      <w:r>
        <w:rPr>
          <w:rFonts w:ascii="Calibri" w:cs="Calibri" w:eastAsia="Calibri" w:hAnsi="Calibri"/>
          <w:color w:val="5C6673"/>
          <w:sz w:val="19"/>
          <w:szCs w:val="19"/>
        </w:rPr>
        <w:t xml:space="preserve">   ·   GPA 3.45</w:t>
      </w:r>
    </w:p>
    <w:p>
      <w:pPr>
        <w:pBdr>
          <w:bottom w:val="single" w:color="CFDBDF" w:sz="6" w:space="4"/>
        </w:pBdr>
        <w:spacing w:after="90" w:before="220"/>
      </w:pPr>
      <w:r>
        <w:rPr>
          <w:rFonts w:ascii="Century Gothic" w:cs="Century Gothic" w:eastAsia="Century Gothic" w:hAnsi="Century Gothic"/>
          <w:b/>
          <w:bCs/>
          <w:color w:val="0C6B78"/>
          <w:spacing w:val="50"/>
          <w:sz w:val="19"/>
          <w:szCs w:val="19"/>
        </w:rPr>
        <w:t xml:space="preserve">RECOGNITION &amp; LANGUAGES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b/>
          <w:bCs/>
          <w:color w:val="16191F"/>
          <w:sz w:val="19"/>
          <w:szCs w:val="19"/>
        </w:rPr>
        <w:t xml:space="preserve">NYC Certified Interpreter / Translator</w:t>
      </w:r>
      <w:r>
        <w:rPr>
          <w:rFonts w:ascii="Calibri" w:cs="Calibri" w:eastAsia="Calibri" w:hAnsi="Calibri"/>
          <w:color w:val="16191F"/>
          <w:sz w:val="19"/>
          <w:szCs w:val="19"/>
        </w:rPr>
        <w:t xml:space="preserve"> — Office of the Mayor, City of New York.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b/>
          <w:bCs/>
          <w:color w:val="16191F"/>
          <w:sz w:val="19"/>
          <w:szCs w:val="19"/>
        </w:rPr>
        <w:t xml:space="preserve">Upwork Expert-Vetted</w:t>
      </w:r>
      <w:r>
        <w:rPr>
          <w:rFonts w:ascii="Calibri" w:cs="Calibri" w:eastAsia="Calibri" w:hAnsi="Calibri"/>
          <w:color w:val="16191F"/>
          <w:sz w:val="19"/>
          <w:szCs w:val="19"/>
        </w:rPr>
        <w:t xml:space="preserve"> — the invitation-only top 1% of talent; 5.0★ client rating.</w:t>
      </w:r>
    </w:p>
    <w:p>
      <w:pPr>
        <w:pStyle w:val="ListParagraph"/>
        <w:numPr>
          <w:ilvl w:val="0"/>
          <w:numId w:val="2"/>
        </w:numPr>
        <w:spacing w:after="46" w:line="250"/>
      </w:pPr>
      <w:r>
        <w:rPr>
          <w:rFonts w:ascii="Calibri" w:cs="Calibri" w:eastAsia="Calibri" w:hAnsi="Calibri"/>
          <w:color w:val="16191F"/>
          <w:sz w:val="19"/>
          <w:szCs w:val="19"/>
        </w:rPr>
        <w:t xml:space="preserve">Languages: </w:t>
      </w:r>
      <w:r>
        <w:rPr>
          <w:rFonts w:ascii="Calibri" w:cs="Calibri" w:eastAsia="Calibri" w:hAnsi="Calibri"/>
          <w:b/>
          <w:bCs/>
          <w:color w:val="16191F"/>
          <w:sz w:val="19"/>
          <w:szCs w:val="19"/>
        </w:rPr>
        <w:t xml:space="preserve">English &amp; Russian</w:t>
      </w:r>
      <w:r>
        <w:rPr>
          <w:rFonts w:ascii="Calibri" w:cs="Calibri" w:eastAsia="Calibri" w:hAnsi="Calibri"/>
          <w:color w:val="16191F"/>
          <w:sz w:val="19"/>
          <w:szCs w:val="19"/>
        </w:rPr>
        <w:t xml:space="preserve"> (fluent); Spanish (basic).</w:t>
      </w:r>
    </w:p>
    <w:p>
      <w:pPr>
        <w:pBdr>
          <w:bottom w:val="single" w:color="CFDBDF" w:sz="6" w:space="4"/>
        </w:pBdr>
        <w:spacing w:after="90" w:before="220"/>
      </w:pPr>
      <w:r>
        <w:rPr>
          <w:rFonts w:ascii="Century Gothic" w:cs="Century Gothic" w:eastAsia="Century Gothic" w:hAnsi="Century Gothic"/>
          <w:b/>
          <w:bCs/>
          <w:color w:val="0C6B78"/>
          <w:spacing w:val="50"/>
          <w:sz w:val="19"/>
          <w:szCs w:val="19"/>
        </w:rPr>
        <w:t xml:space="preserve">SELECTED PRODUCTS</w:t>
      </w:r>
    </w:p>
    <w:p>
      <w:pPr>
        <w:spacing w:line="264"/>
      </w:pPr>
      <w:hyperlink w:history="1" r:id="rIdisny8ataehyt63pzqptda">
        <w:r>
          <w:rPr>
            <w:rFonts w:ascii="Calibri" w:cs="Calibri" w:eastAsia="Calibri" w:hAnsi="Calibri"/>
            <w:color w:val="0C6B78"/>
            <w:sz w:val="19"/>
            <w:szCs w:val="19"/>
            <w:u w:val="single" w:color="0C6B78"/>
          </w:rPr>
          <w:t xml:space="preserve">LiqLab.ai</w:t>
        </w:r>
      </w:hyperlink>
      <w:r>
        <w:rPr>
          <w:rFonts w:ascii="Calibri" w:cs="Calibri" w:eastAsia="Calibri" w:hAnsi="Calibri"/>
          <w:color w:val="CFDBDF"/>
          <w:sz w:val="19"/>
          <w:szCs w:val="19"/>
        </w:rPr>
        <w:t xml:space="preserve">   ·   </w:t>
      </w:r>
      <w:hyperlink w:history="1" r:id="rIdj5genjn_wimtldephqutt">
        <w:r>
          <w:rPr>
            <w:rFonts w:ascii="Calibri" w:cs="Calibri" w:eastAsia="Calibri" w:hAnsi="Calibri"/>
            <w:color w:val="0C6B78"/>
            <w:sz w:val="19"/>
            <w:szCs w:val="19"/>
            <w:u w:val="single" w:color="0C6B78"/>
          </w:rPr>
          <w:t xml:space="preserve">LIQ.studio</w:t>
        </w:r>
      </w:hyperlink>
      <w:r>
        <w:rPr>
          <w:rFonts w:ascii="Calibri" w:cs="Calibri" w:eastAsia="Calibri" w:hAnsi="Calibri"/>
          <w:color w:val="CFDBDF"/>
          <w:sz w:val="19"/>
          <w:szCs w:val="19"/>
        </w:rPr>
        <w:t xml:space="preserve">   ·   </w:t>
      </w:r>
      <w:hyperlink w:history="1" r:id="rIdhmixtq2opmmvamj3juzmg">
        <w:r>
          <w:rPr>
            <w:rFonts w:ascii="Calibri" w:cs="Calibri" w:eastAsia="Calibri" w:hAnsi="Calibri"/>
            <w:color w:val="0C6B78"/>
            <w:sz w:val="19"/>
            <w:szCs w:val="19"/>
            <w:u w:val="single" w:color="0C6B78"/>
          </w:rPr>
          <w:t xml:space="preserve">romanov.solutions</w:t>
        </w:r>
      </w:hyperlink>
      <w:r>
        <w:rPr>
          <w:rFonts w:ascii="Calibri" w:cs="Calibri" w:eastAsia="Calibri" w:hAnsi="Calibri"/>
          <w:color w:val="CFDBDF"/>
          <w:sz w:val="19"/>
          <w:szCs w:val="19"/>
        </w:rPr>
        <w:t xml:space="preserve">   ·   </w:t>
      </w:r>
      <w:hyperlink w:history="1" r:id="rId81i1vi_1ecnvwzt1fg1h7">
        <w:r>
          <w:rPr>
            <w:rFonts w:ascii="Calibri" w:cs="Calibri" w:eastAsia="Calibri" w:hAnsi="Calibri"/>
            <w:color w:val="0C6B78"/>
            <w:sz w:val="19"/>
            <w:szCs w:val="19"/>
            <w:u w:val="single" w:color="0C6B78"/>
          </w:rPr>
          <w:t xml:space="preserve">virtual.limited</w:t>
        </w:r>
      </w:hyperlink>
      <w:r>
        <w:rPr>
          <w:rFonts w:ascii="Calibri" w:cs="Calibri" w:eastAsia="Calibri" w:hAnsi="Calibri"/>
          <w:color w:val="CFDBDF"/>
          <w:sz w:val="19"/>
          <w:szCs w:val="19"/>
        </w:rPr>
        <w:t xml:space="preserve">   ·   </w:t>
      </w:r>
      <w:hyperlink w:history="1" r:id="rIdxbu-dvq5a3x17qgxlhwfh">
        <w:r>
          <w:rPr>
            <w:rFonts w:ascii="Calibri" w:cs="Calibri" w:eastAsia="Calibri" w:hAnsi="Calibri"/>
            <w:color w:val="0C6B78"/>
            <w:sz w:val="19"/>
            <w:szCs w:val="19"/>
            <w:u w:val="single" w:color="0C6B78"/>
          </w:rPr>
          <w:t xml:space="preserve">odontos.io</w:t>
        </w:r>
      </w:hyperlink>
      <w:r>
        <w:rPr>
          <w:rFonts w:ascii="Calibri" w:cs="Calibri" w:eastAsia="Calibri" w:hAnsi="Calibri"/>
          <w:color w:val="CFDBDF"/>
          <w:sz w:val="19"/>
          <w:szCs w:val="19"/>
        </w:rPr>
        <w:t xml:space="preserve">   ·   </w:t>
      </w:r>
      <w:hyperlink w:history="1" r:id="rIdwvtmihlfx-cda34wfmfeg">
        <w:r>
          <w:rPr>
            <w:rFonts w:ascii="Calibri" w:cs="Calibri" w:eastAsia="Calibri" w:hAnsi="Calibri"/>
            <w:color w:val="0C6B78"/>
            <w:sz w:val="19"/>
            <w:szCs w:val="19"/>
            <w:u w:val="single" w:color="0C6B78"/>
          </w:rPr>
          <w:t xml:space="preserve">futuresignal.io</w:t>
        </w:r>
      </w:hyperlink>
    </w:p>
    <w:sectPr>
      <w:footerReference w:type="default" r:id="rId7"/>
      <w:pgSz w:w="12240" w:h="15840" w:orient="portrait"/>
      <w:pgMar w:top="720" w:right="1008" w:bottom="720" w:left="1008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FDBDF" w:sz="6" w:space="6"/>
      </w:pBdr>
      <w:spacing w:before="60"/>
      <w:jc w:val="center"/>
    </w:pPr>
    <w:r>
      <w:rPr>
        <w:rFonts w:ascii="Calibri" w:cs="Calibri" w:eastAsia="Calibri" w:hAnsi="Calibri"/>
        <w:color w:val="5C6673"/>
        <w:sz w:val="15"/>
        <w:szCs w:val="15"/>
      </w:rPr>
      <w:t xml:space="preserve">Arthur Romanov</w:t>
    </w:r>
    <w:r>
      <w:rPr>
        <w:rFonts w:ascii="Calibri" w:cs="Calibri" w:eastAsia="Calibri" w:hAnsi="Calibri"/>
        <w:color w:val="5C6673"/>
        <w:sz w:val="15"/>
        <w:szCs w:val="15"/>
      </w:rPr>
      <w:t xml:space="preserve">   ·   arthur@liqlab.ai   ·   liq.studio   ·   </w:t>
    </w:r>
    <w:r>
      <w:rPr>
        <w:rFonts w:ascii="Calibri" w:cs="Calibri" w:eastAsia="Calibri" w:hAnsi="Calibri"/>
        <w:color w:val="5C6673"/>
        <w:sz w:val="15"/>
        <w:szCs w:val="15"/>
      </w:rPr>
      <w:t xml:space="preserve">Page </w:t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250" w:hanging="170"/>
      </w:pPr>
      <w:rPr>
        <w:rFonts w:ascii="Calibri" w:cs="Calibri" w:eastAsia="Calibri" w:hAnsi="Calibri"/>
        <w:color w:val="2AA6B8"/>
        <w:sz w:val="20"/>
        <w:szCs w:val="20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rgrrzvq01lv1t1-o_jfao" Type="http://schemas.openxmlformats.org/officeDocument/2006/relationships/hyperlink" Target="mailto:arthur@liqlab.ai" TargetMode="External"/><Relationship Id="rId0nzty-m5wwpw4crrdkjrv" Type="http://schemas.openxmlformats.org/officeDocument/2006/relationships/hyperlink" Target="https://www.linkedin.com/in/arthurromanov/" TargetMode="External"/><Relationship Id="rIdco-5u9f7vltxonlnqcjtw" Type="http://schemas.openxmlformats.org/officeDocument/2006/relationships/hyperlink" Target="https://liq.studio" TargetMode="External"/><Relationship Id="rIdhx4z0vsq0o6umopvpw6vt" Type="http://schemas.openxmlformats.org/officeDocument/2006/relationships/hyperlink" Target="https://romanov.solutions/liq" TargetMode="External"/><Relationship Id="rIdisny8ataehyt63pzqptda" Type="http://schemas.openxmlformats.org/officeDocument/2006/relationships/hyperlink" Target="https://liqlab.ai" TargetMode="External"/><Relationship Id="rIdj5genjn_wimtldephqutt" Type="http://schemas.openxmlformats.org/officeDocument/2006/relationships/hyperlink" Target="https://liq.studio" TargetMode="External"/><Relationship Id="rIdhmixtq2opmmvamj3juzmg" Type="http://schemas.openxmlformats.org/officeDocument/2006/relationships/hyperlink" Target="https://romanov.solutions" TargetMode="External"/><Relationship Id="rId81i1vi_1ecnvwzt1fg1h7" Type="http://schemas.openxmlformats.org/officeDocument/2006/relationships/hyperlink" Target="https://virtual.limited" TargetMode="External"/><Relationship Id="rIdxbu-dvq5a3x17qgxlhwfh" Type="http://schemas.openxmlformats.org/officeDocument/2006/relationships/hyperlink" Target="https://odontos.io" TargetMode="External"/><Relationship Id="rIdwvtmihlfx-cda34wfmfeg" Type="http://schemas.openxmlformats.org/officeDocument/2006/relationships/hyperlink" Target="https://futuresignal.io" TargetMode="External"/><Relationship Id="rId1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Arthur Romanov — Résumé</dc:title>
  <dc:creator>Arthur Romanov</dc:creator>
  <cp:lastModifiedBy>Un-named</cp:lastModifiedBy>
  <cp:revision>1</cp:revision>
  <dcterms:created xsi:type="dcterms:W3CDTF">2026-07-13T17:44:11.799Z</dcterms:created>
  <dcterms:modified xsi:type="dcterms:W3CDTF">2026-07-13T17:44:11.801Z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